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начальной школе</w:t>
            </w:r>
          </w:p>
          <w:p>
            <w:pPr>
              <w:jc w:val="center"/>
              <w:spacing w:after="0" w:line="240" w:lineRule="auto"/>
              <w:rPr>
                <w:sz w:val="32"/>
                <w:szCs w:val="32"/>
              </w:rPr>
            </w:pPr>
            <w:r>
              <w:rPr>
                <w:rFonts w:ascii="Times New Roman" w:hAnsi="Times New Roman" w:cs="Times New Roman"/>
                <w:color w:val="#000000"/>
                <w:sz w:val="32"/>
                <w:szCs w:val="32"/>
              </w:rPr>
              <w:t> Б1.В.02.06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Б1.В.02.06 «Проектирование образовательных программ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403.0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Б1.В.02.06 «Проектирование образовательных программ в начальной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аспекты становления и современные особенности начального образования в России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начального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российского законодательства, регулирующего право на образование.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образовании. Федеральный Государственный Образовательный 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работы педагога в начальной школе.</w:t>
            </w:r>
          </w:p>
        </w:tc>
      </w:tr>
      <w:tr>
        <w:trPr>
          <w:trHeight w:hRule="exact" w:val="2143.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Основная образовательная программа начального общего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Образовательные программы начальной школы в соответствии с ФГОС.</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Традиционная система образования, ее вариативные модели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Я.А. Коменского</w:t>
            </w:r>
          </w:p>
          <w:p>
            <w:pPr>
              <w:jc w:val="both"/>
              <w:spacing w:after="0" w:line="240" w:lineRule="auto"/>
              <w:rPr>
                <w:sz w:val="24"/>
                <w:szCs w:val="24"/>
              </w:rPr>
            </w:pPr>
            <w:r>
              <w:rPr>
                <w:rFonts w:ascii="Times New Roman" w:hAnsi="Times New Roman" w:cs="Times New Roman"/>
                <w:color w:val="#000000"/>
                <w:sz w:val="24"/>
                <w:szCs w:val="24"/>
              </w:rPr>
              <w:t> 2.	Вариативность образования.</w:t>
            </w:r>
          </w:p>
          <w:p>
            <w:pPr>
              <w:jc w:val="both"/>
              <w:spacing w:after="0" w:line="240" w:lineRule="auto"/>
              <w:rPr>
                <w:sz w:val="24"/>
                <w:szCs w:val="24"/>
              </w:rPr>
            </w:pPr>
            <w:r>
              <w:rPr>
                <w:rFonts w:ascii="Times New Roman" w:hAnsi="Times New Roman" w:cs="Times New Roman"/>
                <w:color w:val="#000000"/>
                <w:sz w:val="24"/>
                <w:szCs w:val="24"/>
              </w:rPr>
              <w:t> 3.	Изистории вариативного образования.</w:t>
            </w:r>
          </w:p>
          <w:p>
            <w:pPr>
              <w:jc w:val="both"/>
              <w:spacing w:after="0" w:line="240" w:lineRule="auto"/>
              <w:rPr>
                <w:sz w:val="24"/>
                <w:szCs w:val="24"/>
              </w:rPr>
            </w:pPr>
            <w:r>
              <w:rPr>
                <w:rFonts w:ascii="Times New Roman" w:hAnsi="Times New Roman" w:cs="Times New Roman"/>
                <w:color w:val="#000000"/>
                <w:sz w:val="24"/>
                <w:szCs w:val="24"/>
              </w:rPr>
              <w:t> 4.	ФГОС НОО второго поколения.</w:t>
            </w:r>
          </w:p>
          <w:p>
            <w:pPr>
              <w:jc w:val="both"/>
              <w:spacing w:after="0" w:line="240" w:lineRule="auto"/>
              <w:rPr>
                <w:sz w:val="24"/>
                <w:szCs w:val="24"/>
              </w:rPr>
            </w:pPr>
            <w:r>
              <w:rPr>
                <w:rFonts w:ascii="Times New Roman" w:hAnsi="Times New Roman" w:cs="Times New Roman"/>
                <w:color w:val="#000000"/>
                <w:sz w:val="24"/>
                <w:szCs w:val="24"/>
              </w:rPr>
              <w:t> 5.	Традиционная система образования на современном этапе</w:t>
            </w:r>
          </w:p>
          <w:p>
            <w:pPr>
              <w:jc w:val="both"/>
              <w:spacing w:after="0" w:line="240" w:lineRule="auto"/>
              <w:rPr>
                <w:sz w:val="24"/>
                <w:szCs w:val="24"/>
              </w:rPr>
            </w:pPr>
            <w:r>
              <w:rPr>
                <w:rFonts w:ascii="Times New Roman" w:hAnsi="Times New Roman" w:cs="Times New Roman"/>
                <w:color w:val="#000000"/>
                <w:sz w:val="24"/>
                <w:szCs w:val="24"/>
              </w:rPr>
              <w:t> 6.	Методическое обеспечение системы: профессиональная готовность массового учителя.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Современнеы требования к содержанию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УМК "Школа России2, "Перспективная начальная школа", "Школа 2100", "Гармония"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pPr>
              <w:jc w:val="both"/>
              <w:spacing w:after="0" w:line="240" w:lineRule="auto"/>
              <w:rPr>
                <w:sz w:val="24"/>
                <w:szCs w:val="24"/>
              </w:rPr>
            </w:pPr>
            <w:r>
              <w:rPr>
                <w:rFonts w:ascii="Times New Roman" w:hAnsi="Times New Roman" w:cs="Times New Roman"/>
                <w:color w:val="#000000"/>
                <w:sz w:val="24"/>
                <w:szCs w:val="24"/>
              </w:rPr>
              <w:t> 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pPr>
              <w:jc w:val="both"/>
              <w:spacing w:after="0" w:line="240" w:lineRule="auto"/>
              <w:rPr>
                <w:sz w:val="24"/>
                <w:szCs w:val="24"/>
              </w:rPr>
            </w:pPr>
            <w:r>
              <w:rPr>
                <w:rFonts w:ascii="Times New Roman" w:hAnsi="Times New Roman" w:cs="Times New Roman"/>
                <w:color w:val="#000000"/>
                <w:sz w:val="24"/>
                <w:szCs w:val="24"/>
              </w:rPr>
              <w:t> 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pPr>
              <w:jc w:val="both"/>
              <w:spacing w:after="0" w:line="240" w:lineRule="auto"/>
              <w:rPr>
                <w:sz w:val="24"/>
                <w:szCs w:val="24"/>
              </w:rPr>
            </w:pPr>
            <w:r>
              <w:rPr>
                <w:rFonts w:ascii="Times New Roman" w:hAnsi="Times New Roman" w:cs="Times New Roman"/>
                <w:color w:val="#000000"/>
                <w:sz w:val="24"/>
                <w:szCs w:val="24"/>
              </w:rPr>
              <w:t> 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программы «Школа XXI века», «РИТМ», «Классическая начальная школа»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«Школа XXI века»</w:t>
            </w:r>
          </w:p>
          <w:p>
            <w:pPr>
              <w:jc w:val="both"/>
              <w:spacing w:after="0" w:line="240" w:lineRule="auto"/>
              <w:rPr>
                <w:sz w:val="24"/>
                <w:szCs w:val="24"/>
              </w:rPr>
            </w:pPr>
            <w:r>
              <w:rPr>
                <w:rFonts w:ascii="Times New Roman" w:hAnsi="Times New Roman" w:cs="Times New Roman"/>
                <w:color w:val="#000000"/>
                <w:sz w:val="24"/>
                <w:szCs w:val="24"/>
              </w:rPr>
              <w:t> 2.	Образовательная программа «РИТМ»</w:t>
            </w:r>
          </w:p>
          <w:p>
            <w:pPr>
              <w:jc w:val="both"/>
              <w:spacing w:after="0" w:line="240" w:lineRule="auto"/>
              <w:rPr>
                <w:sz w:val="24"/>
                <w:szCs w:val="24"/>
              </w:rPr>
            </w:pPr>
            <w:r>
              <w:rPr>
                <w:rFonts w:ascii="Times New Roman" w:hAnsi="Times New Roman" w:cs="Times New Roman"/>
                <w:color w:val="#000000"/>
                <w:sz w:val="24"/>
                <w:szCs w:val="24"/>
              </w:rPr>
              <w:t> 3.	Образовательная программа «Классическая начальная школа»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Образовательная программа Эльконина — Давыдова, программа Л.В. Занкова, программа «Планета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Эльконина — Давыдова</w:t>
            </w:r>
          </w:p>
          <w:p>
            <w:pPr>
              <w:jc w:val="both"/>
              <w:spacing w:after="0" w:line="240" w:lineRule="auto"/>
              <w:rPr>
                <w:sz w:val="24"/>
                <w:szCs w:val="24"/>
              </w:rPr>
            </w:pPr>
            <w:r>
              <w:rPr>
                <w:rFonts w:ascii="Times New Roman" w:hAnsi="Times New Roman" w:cs="Times New Roman"/>
                <w:color w:val="#000000"/>
                <w:sz w:val="24"/>
                <w:szCs w:val="24"/>
              </w:rPr>
              <w:t> 2.	программа Л.В. Занкова</w:t>
            </w:r>
          </w:p>
          <w:p>
            <w:pPr>
              <w:jc w:val="both"/>
              <w:spacing w:after="0" w:line="240" w:lineRule="auto"/>
              <w:rPr>
                <w:sz w:val="24"/>
                <w:szCs w:val="24"/>
              </w:rPr>
            </w:pPr>
            <w:r>
              <w:rPr>
                <w:rFonts w:ascii="Times New Roman" w:hAnsi="Times New Roman" w:cs="Times New Roman"/>
                <w:color w:val="#000000"/>
                <w:sz w:val="24"/>
                <w:szCs w:val="24"/>
              </w:rPr>
              <w:t> 3.	 программа «Планета знаний».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2024-2025_ФГОС3++2024_Бак-ОФО-ПО(НО)(24)_plx_Проектирование образовательных программ в начальной школе</dc:title>
  <dc:creator>FastReport.NET</dc:creator>
</cp:coreProperties>
</file>